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C5580"/>
          <w:sz w:val="36"/>
        </w:rPr>
        <w:t>Daftar Periksa Sebelum Submit</w:t>
      </w:r>
    </w:p>
    <w:p>
      <w:r>
        <w:rPr>
          <w:color w:val="5A6675"/>
          <w:sz w:val="21"/>
        </w:rPr>
        <w:t>Disarikan dari komentar reviewer pada enam karya yang terbit di jurnal Scopus dan SINTA</w:t>
      </w:r>
    </w:p>
    <w:p>
      <w:r>
        <w:rPr>
          <w:i w:val="0"/>
          <w:sz w:val="21"/>
        </w:rPr>
        <w:t>Cara memakai: telusuri setiap butir sebelum menekan tombol submit. Butir yang tidak relevan dengan jenis riset Anda boleh dilewati, tetapi pastikan alasannya jelas. Sebagian besar butir di sini lahir dari kritik yang benar-benar diterima, bukan dari buku panduan.</w:t>
      </w:r>
    </w:p>
    <w:p>
      <w:pPr>
        <w:spacing w:before="280"/>
      </w:pPr>
      <w:r>
        <w:rPr>
          <w:b/>
          <w:color w:val="2C5580"/>
          <w:sz w:val="25"/>
        </w:rPr>
        <w:t>A. Judul, abstrak, dan struktur</w:t>
      </w:r>
    </w:p>
    <w:p>
      <w:pPr>
        <w:pStyle w:val="ListBullet"/>
        <w:spacing w:after="60"/>
      </w:pPr>
      <w:r>
        <w:rPr>
          <w:sz w:val="21"/>
        </w:rPr>
        <w:t>Judul mencerminkan isi dan memuat kata kunci yang dicari pembaca. Siap diubah bila reviewer menyarankan.</w:t>
      </w:r>
    </w:p>
    <w:p>
      <w:pPr>
        <w:pStyle w:val="ListBullet"/>
        <w:spacing w:after="60"/>
      </w:pPr>
      <w:r>
        <w:rPr>
          <w:sz w:val="21"/>
        </w:rPr>
        <w:t>Abstrak memuat tujuan, metode, temuan utama, dan implikasi dalam takaran seimbang.</w:t>
      </w:r>
    </w:p>
    <w:p>
      <w:pPr>
        <w:pStyle w:val="ListBullet"/>
        <w:spacing w:after="60"/>
      </w:pPr>
      <w:r>
        <w:rPr>
          <w:sz w:val="21"/>
        </w:rPr>
        <w:t>Judul dan subjudul diberi penomoran yang konsisten.</w:t>
      </w:r>
    </w:p>
    <w:p>
      <w:pPr>
        <w:pStyle w:val="ListBullet"/>
        <w:spacing w:after="60"/>
      </w:pPr>
      <w:r>
        <w:rPr>
          <w:sz w:val="21"/>
        </w:rPr>
        <w:t>Panjang naskah sesuai batas jurnal. Periksa panduan penulis, sebagian jurnal membatasi 7.000 kata.</w:t>
      </w:r>
    </w:p>
    <w:p>
      <w:pPr>
        <w:pStyle w:val="ListBullet"/>
        <w:spacing w:after="60"/>
      </w:pPr>
      <w:r>
        <w:rPr>
          <w:sz w:val="21"/>
        </w:rPr>
        <w:t>Bagian keterbatasan dan arah riset lanjutan ada, dan posisinya konsisten terhadap kesimpulan.</w:t>
      </w:r>
    </w:p>
    <w:p>
      <w:pPr>
        <w:spacing w:before="280"/>
      </w:pPr>
      <w:r>
        <w:rPr>
          <w:b/>
          <w:color w:val="2C5580"/>
          <w:sz w:val="25"/>
        </w:rPr>
        <w:t>B. Pendahuluan dan celah riset</w:t>
      </w:r>
    </w:p>
    <w:p>
      <w:pPr>
        <w:pStyle w:val="ListBullet"/>
        <w:spacing w:after="60"/>
      </w:pPr>
      <w:r>
        <w:rPr>
          <w:sz w:val="21"/>
        </w:rPr>
        <w:t>Satu paragraf memperkenalkan topik, lalu dua sampai tiga paragraf menegaskan celah riset.</w:t>
      </w:r>
    </w:p>
    <w:p>
      <w:pPr>
        <w:pStyle w:val="ListBullet"/>
        <w:spacing w:after="60"/>
      </w:pPr>
      <w:r>
        <w:rPr>
          <w:sz w:val="21"/>
        </w:rPr>
        <w:t>Celah riset tidak berhenti pada alasan "belum ada yang meneliti di konteks ini". Jelaskan mengapa ketiadaan itu penting.</w:t>
      </w:r>
    </w:p>
    <w:p>
      <w:pPr>
        <w:pStyle w:val="ListBullet"/>
        <w:spacing w:after="60"/>
      </w:pPr>
      <w:r>
        <w:rPr>
          <w:sz w:val="21"/>
        </w:rPr>
        <w:t>Perbedaan konteks saja, misalnya sektor swasta versus sektor publik, sering dinilai belum cukup kuat sebagai celah.</w:t>
      </w:r>
    </w:p>
    <w:p>
      <w:pPr>
        <w:pStyle w:val="ListBullet"/>
        <w:spacing w:after="60"/>
      </w:pPr>
      <w:r>
        <w:rPr>
          <w:sz w:val="21"/>
        </w:rPr>
        <w:t>Problem statement dan tujuan riset dinyatakan eksplisit, bukan tersirat.</w:t>
      </w:r>
    </w:p>
    <w:p>
      <w:pPr>
        <w:spacing w:before="280"/>
      </w:pPr>
      <w:r>
        <w:rPr>
          <w:b/>
          <w:color w:val="2C5580"/>
          <w:sz w:val="25"/>
        </w:rPr>
        <w:t>C. Kajian literatur</w:t>
      </w:r>
    </w:p>
    <w:p>
      <w:pPr>
        <w:pStyle w:val="ListBullet"/>
        <w:spacing w:after="60"/>
      </w:pPr>
      <w:r>
        <w:rPr>
          <w:sz w:val="21"/>
        </w:rPr>
        <w:t>Bukan ringkasan berurutan, melainkan tinjauan kritis yang membandingkan dan mempertentangkan.</w:t>
      </w:r>
    </w:p>
    <w:p>
      <w:pPr>
        <w:pStyle w:val="ListBullet"/>
        <w:spacing w:after="60"/>
      </w:pPr>
      <w:r>
        <w:rPr>
          <w:sz w:val="21"/>
        </w:rPr>
        <w:t>Memuat temuan yang bertolak belakang, bukan hanya yang mendukung hipotesis.</w:t>
      </w:r>
    </w:p>
    <w:p>
      <w:pPr>
        <w:pStyle w:val="ListBullet"/>
        <w:spacing w:after="60"/>
      </w:pPr>
      <w:r>
        <w:rPr>
          <w:sz w:val="21"/>
        </w:rPr>
        <w:t>Setiap konstruk dijelaskan landasan teorinya, tidak berhenti pada definisi.</w:t>
      </w:r>
    </w:p>
    <w:p>
      <w:pPr>
        <w:pStyle w:val="ListBullet"/>
        <w:spacing w:after="60"/>
      </w:pPr>
      <w:r>
        <w:rPr>
          <w:sz w:val="21"/>
        </w:rPr>
        <w:t>Sumber asli teori dikutip langsung, bukan lewat kutipan tangan kedua.</w:t>
      </w:r>
    </w:p>
    <w:p>
      <w:pPr>
        <w:pStyle w:val="ListBullet"/>
        <w:spacing w:after="60"/>
      </w:pPr>
      <w:r>
        <w:rPr>
          <w:sz w:val="21"/>
        </w:rPr>
        <w:t>Setiap subbagian lebih dari satu paragraf. Satu paragraf per konstruk akan dianggap dangkal.</w:t>
      </w:r>
    </w:p>
    <w:p>
      <w:pPr>
        <w:pStyle w:val="ListBullet"/>
        <w:spacing w:after="60"/>
      </w:pPr>
      <w:r>
        <w:rPr>
          <w:sz w:val="21"/>
        </w:rPr>
        <w:t>Gaya penulisan terasa personal dan kritis. Reviewer kini peka terhadap tulisan yang terasa generik.</w:t>
      </w:r>
    </w:p>
    <w:p>
      <w:pPr>
        <w:spacing w:before="280"/>
      </w:pPr>
      <w:r>
        <w:rPr>
          <w:b/>
          <w:color w:val="2C5580"/>
          <w:sz w:val="25"/>
        </w:rPr>
        <w:t>D. Metode</w:t>
      </w:r>
    </w:p>
    <w:p>
      <w:pPr>
        <w:pStyle w:val="ListBullet"/>
        <w:spacing w:after="60"/>
      </w:pPr>
      <w:r>
        <w:rPr>
          <w:sz w:val="21"/>
        </w:rPr>
        <w:t>Bagian metode dipecah jelas menjadi desain riset, konteks riset, dan partisipan.</w:t>
      </w:r>
    </w:p>
    <w:p>
      <w:pPr>
        <w:pStyle w:val="ListBullet"/>
        <w:spacing w:after="60"/>
      </w:pPr>
      <w:r>
        <w:rPr>
          <w:sz w:val="21"/>
        </w:rPr>
        <w:t>Cara menentukan jumlah sampel dijelaskan, termasuk rumus atau tekniknya.</w:t>
      </w:r>
    </w:p>
    <w:p>
      <w:pPr>
        <w:pStyle w:val="ListBullet"/>
        <w:spacing w:after="60"/>
      </w:pPr>
      <w:r>
        <w:rPr>
          <w:sz w:val="21"/>
        </w:rPr>
        <w:t>Cara menghubungi responden dijelaskan.</w:t>
      </w:r>
    </w:p>
    <w:p>
      <w:pPr>
        <w:pStyle w:val="ListBullet"/>
        <w:spacing w:after="60"/>
      </w:pPr>
      <w:r>
        <w:rPr>
          <w:sz w:val="21"/>
        </w:rPr>
        <w:t>Upaya pengendalian bias dijelaskan, misalnya anonimisasi untuk menekan jawaban normatif.</w:t>
      </w:r>
    </w:p>
    <w:p>
      <w:pPr>
        <w:pStyle w:val="ListBullet"/>
        <w:spacing w:after="60"/>
      </w:pPr>
      <w:r>
        <w:rPr>
          <w:sz w:val="21"/>
        </w:rPr>
        <w:t>Durasi pengumpulan data disebutkan berikut alasannya.</w:t>
      </w:r>
    </w:p>
    <w:p>
      <w:pPr>
        <w:pStyle w:val="ListBullet"/>
        <w:spacing w:after="60"/>
      </w:pPr>
      <w:r>
        <w:rPr>
          <w:sz w:val="21"/>
        </w:rPr>
        <w:t>Pernyataan ethical review atau kesesuaian dengan kebijakan etik institusi dicantumkan. Sebagian penerbit menolak naskah tanpa ini.</w:t>
      </w:r>
    </w:p>
    <w:p>
      <w:r>
        <w:rPr>
          <w:b/>
          <w:i w:val="0"/>
          <w:sz w:val="22"/>
        </w:rPr>
        <w:t>Tambahan untuk riset kuantitatif</w:t>
      </w:r>
    </w:p>
    <w:p>
      <w:pPr>
        <w:pStyle w:val="ListBullet"/>
        <w:spacing w:after="60"/>
      </w:pPr>
      <w:r>
        <w:rPr>
          <w:sz w:val="21"/>
        </w:rPr>
        <w:t>Uji normalitas dilaporkan lengkap: skewness, kurtosis, dan nilai gabungannya. Standar deviasi saja tidak cukup.</w:t>
      </w:r>
    </w:p>
    <w:p>
      <w:pPr>
        <w:pStyle w:val="ListBullet"/>
        <w:spacing w:after="60"/>
      </w:pPr>
      <w:r>
        <w:rPr>
          <w:sz w:val="21"/>
        </w:rPr>
        <w:t>Perangkat lunak disebutkan, begitu pula pendekatan SEM yang dipakai, apakah berbasis kovarian atau PLS.</w:t>
      </w:r>
    </w:p>
    <w:p>
      <w:pPr>
        <w:pStyle w:val="ListBullet"/>
        <w:spacing w:after="60"/>
      </w:pPr>
      <w:r>
        <w:rPr>
          <w:sz w:val="21"/>
        </w:rPr>
        <w:t>Dijelaskan apakah memakai analisis faktor eksploratori atau konfirmatori, berikut alasannya.</w:t>
      </w:r>
    </w:p>
    <w:p>
      <w:pPr>
        <w:pStyle w:val="ListBullet"/>
        <w:spacing w:after="60"/>
      </w:pPr>
      <w:r>
        <w:rPr>
          <w:sz w:val="21"/>
        </w:rPr>
        <w:t>Indeks kecocokan model dilaporkan.</w:t>
      </w:r>
    </w:p>
    <w:p>
      <w:pPr>
        <w:pStyle w:val="ListBullet"/>
        <w:spacing w:after="60"/>
      </w:pPr>
      <w:r>
        <w:rPr>
          <w:sz w:val="21"/>
        </w:rPr>
        <w:t>Bila skala pengukuran tidak lazim, misalnya empat poin alih-alih lima, jelaskan alasannya sejak awal.</w:t>
      </w:r>
    </w:p>
    <w:p>
      <w:r>
        <w:rPr>
          <w:b/>
          <w:i w:val="0"/>
          <w:sz w:val="22"/>
        </w:rPr>
        <w:t>Tambahan untuk riset kualitatif</w:t>
      </w:r>
    </w:p>
    <w:p>
      <w:pPr>
        <w:pStyle w:val="ListBullet"/>
        <w:spacing w:after="60"/>
      </w:pPr>
      <w:r>
        <w:rPr>
          <w:sz w:val="21"/>
        </w:rPr>
        <w:t>Prosedur wawancara dirinci: daring atau tatap muka, berikut kelebihan dan kekurangan pilihan itu.</w:t>
      </w:r>
    </w:p>
    <w:p>
      <w:pPr>
        <w:pStyle w:val="ListBullet"/>
        <w:spacing w:after="60"/>
      </w:pPr>
      <w:r>
        <w:rPr>
          <w:sz w:val="21"/>
        </w:rPr>
        <w:t>Panduan pertanyaan wawancara dilampirkan, disertai rasional setiap pertanyaan dan rujukannya.</w:t>
      </w:r>
    </w:p>
    <w:p>
      <w:pPr>
        <w:pStyle w:val="ListBullet"/>
        <w:spacing w:after="60"/>
      </w:pPr>
      <w:r>
        <w:rPr>
          <w:sz w:val="21"/>
        </w:rPr>
        <w:t>Dijelaskan siapa yang mewawancarai dan bagaimana bias posisi peneliti diatasi.</w:t>
      </w:r>
    </w:p>
    <w:p>
      <w:pPr>
        <w:pStyle w:val="ListBullet"/>
        <w:spacing w:after="60"/>
      </w:pPr>
      <w:r>
        <w:rPr>
          <w:sz w:val="21"/>
        </w:rPr>
        <w:t>Dijelaskan jenis analisis yang dipakai untuk observasi dan dokumen.</w:t>
      </w:r>
    </w:p>
    <w:p>
      <w:pPr>
        <w:pStyle w:val="ListBullet"/>
        <w:spacing w:after="60"/>
      </w:pPr>
      <w:r>
        <w:rPr>
          <w:sz w:val="21"/>
        </w:rPr>
        <w:t>Strategi validasi disebutkan, misalnya triangulasi, member checking, dan jejak audit.</w:t>
      </w:r>
    </w:p>
    <w:p>
      <w:pPr>
        <w:pStyle w:val="ListBullet"/>
        <w:spacing w:after="60"/>
      </w:pPr>
      <w:r>
        <w:rPr>
          <w:sz w:val="21"/>
        </w:rPr>
        <w:t>Sampel kecil bukan penghalang, asalkan klaim kontribusinya proporsional dan keterbatasannya diakui terbuka.</w:t>
      </w:r>
    </w:p>
    <w:p>
      <w:pPr>
        <w:spacing w:before="280"/>
      </w:pPr>
      <w:r>
        <w:rPr>
          <w:b/>
          <w:color w:val="2C5580"/>
          <w:sz w:val="25"/>
        </w:rPr>
        <w:t>E. Hasil dan pembahasan</w:t>
      </w:r>
    </w:p>
    <w:p>
      <w:pPr>
        <w:pStyle w:val="ListBullet"/>
        <w:spacing w:after="60"/>
      </w:pPr>
      <w:r>
        <w:rPr>
          <w:sz w:val="21"/>
        </w:rPr>
        <w:t>Hasil dipisah dari pembahasan menjadi dua bagian tersendiri.</w:t>
      </w:r>
    </w:p>
    <w:p>
      <w:pPr>
        <w:pStyle w:val="ListBullet"/>
        <w:spacing w:after="60"/>
      </w:pPr>
      <w:r>
        <w:rPr>
          <w:sz w:val="21"/>
        </w:rPr>
        <w:t>Setiap kelompok temuan dikaitkan kembali secara eksplisit ke pertanyaan riset.</w:t>
      </w:r>
    </w:p>
    <w:p>
      <w:pPr>
        <w:pStyle w:val="ListBullet"/>
        <w:spacing w:after="60"/>
      </w:pPr>
      <w:r>
        <w:rPr>
          <w:sz w:val="21"/>
        </w:rPr>
        <w:t>Pembahasan membandingkan temuan dengan banyak studi terkait. Diskusi yang hanya bersandar satu sampai dua rujukan dinilai lemah secara fundamental.</w:t>
      </w:r>
    </w:p>
    <w:p>
      <w:pPr>
        <w:pStyle w:val="ListBullet"/>
        <w:spacing w:after="60"/>
      </w:pPr>
      <w:r>
        <w:rPr>
          <w:sz w:val="21"/>
        </w:rPr>
        <w:t>Temuan yang tidak sesuai hipotesis tetap dibahas dan dijelaskan, bukan disembunyikan.</w:t>
      </w:r>
    </w:p>
    <w:p>
      <w:pPr>
        <w:pStyle w:val="ListBullet"/>
        <w:spacing w:after="60"/>
      </w:pPr>
      <w:r>
        <w:rPr>
          <w:sz w:val="21"/>
        </w:rPr>
        <w:t>Format tabel dan gambar konsisten.</w:t>
      </w:r>
    </w:p>
    <w:p>
      <w:pPr>
        <w:spacing w:before="280"/>
      </w:pPr>
      <w:r>
        <w:rPr>
          <w:b/>
          <w:color w:val="2C5580"/>
          <w:sz w:val="25"/>
        </w:rPr>
        <w:t>F. Kontribusi dan implikasi</w:t>
      </w:r>
    </w:p>
    <w:p>
      <w:pPr>
        <w:pStyle w:val="ListBullet"/>
        <w:spacing w:after="60"/>
      </w:pPr>
      <w:r>
        <w:rPr>
          <w:sz w:val="21"/>
        </w:rPr>
        <w:t>Implikasi teoretis, praktis, dan kebijakan dinyatakan terpisah.</w:t>
      </w:r>
    </w:p>
    <w:p>
      <w:pPr>
        <w:pStyle w:val="ListBullet"/>
        <w:spacing w:after="60"/>
      </w:pPr>
      <w:r>
        <w:rPr>
          <w:sz w:val="21"/>
        </w:rPr>
        <w:t>Kontribusi yang dijanjikan di abstrak selaras dengan yang disimpulkan di akhir.</w:t>
      </w:r>
    </w:p>
    <w:p>
      <w:pPr>
        <w:pStyle w:val="ListBullet"/>
        <w:spacing w:after="60"/>
      </w:pPr>
      <w:r>
        <w:rPr>
          <w:sz w:val="21"/>
        </w:rPr>
        <w:t>Implikasi tidak berhenti pada pernyataan umum, melainkan diarahkan ke konteks spesifik riset.</w:t>
      </w:r>
    </w:p>
    <w:p>
      <w:pPr>
        <w:spacing w:before="280"/>
      </w:pPr>
      <w:r>
        <w:rPr>
          <w:b/>
          <w:color w:val="2C5580"/>
          <w:sz w:val="25"/>
        </w:rPr>
        <w:t>G. Administratif</w:t>
      </w:r>
    </w:p>
    <w:p>
      <w:pPr>
        <w:pStyle w:val="ListBullet"/>
        <w:spacing w:after="60"/>
      </w:pPr>
      <w:r>
        <w:rPr>
          <w:sz w:val="21"/>
        </w:rPr>
        <w:t>Gaya sitasi sesuai ketentuan jurnal.</w:t>
      </w:r>
    </w:p>
    <w:p>
      <w:pPr>
        <w:pStyle w:val="ListBullet"/>
        <w:spacing w:after="60"/>
      </w:pPr>
      <w:r>
        <w:rPr>
          <w:sz w:val="21"/>
        </w:rPr>
        <w:t>Semua rujukan dalam teks ada di daftar pustaka, dan sebaliknya.</w:t>
      </w:r>
    </w:p>
    <w:p>
      <w:pPr>
        <w:pStyle w:val="ListBullet"/>
        <w:spacing w:after="60"/>
      </w:pPr>
      <w:r>
        <w:rPr>
          <w:sz w:val="21"/>
        </w:rPr>
        <w:t>Pernyataan ketersediaan data dicantumkan.</w:t>
      </w:r>
    </w:p>
    <w:p>
      <w:pPr>
        <w:pStyle w:val="ListBullet"/>
        <w:spacing w:after="60"/>
      </w:pPr>
      <w:r>
        <w:rPr>
          <w:sz w:val="21"/>
        </w:rPr>
        <w:t>Pernyataan konflik kepentingan dicantumkan.</w:t>
      </w:r>
    </w:p>
    <w:p>
      <w:pPr>
        <w:pStyle w:val="ListBullet"/>
        <w:spacing w:after="60"/>
      </w:pPr>
      <w:r>
        <w:rPr>
          <w:sz w:val="21"/>
        </w:rPr>
        <w:t>Naskah dianonimkan bila jurnal memakai penilaian tertutup.</w:t>
      </w:r>
    </w:p>
    <w:p>
      <w:pPr>
        <w:pStyle w:val="ListBullet"/>
        <w:spacing w:after="60"/>
      </w:pPr>
      <w:r>
        <w:rPr>
          <w:sz w:val="21"/>
        </w:rPr>
        <w:t>Berkas gambar beresolusi cukup dan terbaca saat dicetak.</w:t>
      </w:r>
    </w:p>
    <w:p>
      <w:pPr>
        <w:spacing w:before="400"/>
      </w:pPr>
      <w:r>
        <w:rPr>
          <w:i/>
          <w:color w:val="66717F"/>
          <w:sz w:val="18"/>
        </w:rPr>
        <w:t>Disusun dari catatan reviewer sungguhan pada enam karya terbit. Sumber dan contoh kasusnya dapat dibaca di dara-academic.github.io/publikasi</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